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32"/>
          <w:szCs w:val="32"/>
          <w:rtl w:val="0"/>
        </w:rPr>
        <w:t xml:space="preserve">CAF plantea 4 desafíos de América Latina en su 22ª conferencia anual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La consolidación fiscal, la productividad, el fortalecimiento de la democracia y los derechos humanos marcaron el comienzo de la 22ª Conferencia Anual CAF en la que también se debatieron los retos para la libertad de prensa en el siglo XXI y las nuevas perspectivas para el comercio y la inversión entre China y América Latina.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808080"/>
          <w:rtl w:val="0"/>
        </w:rPr>
        <w:t xml:space="preserve">(Washington, 05 de septiembre de 2018)-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El debate sobre los avances y desafíos de las relaciones económicas y políticas globales con América Latina marcó el inicio de la 22ª Conferencia Anual CAF, que se lleva a cabo en Washington D.C.. Los retos para mejorar el bienestar de la población y promover un crecimiento sostenible, el fortalecimiento de la democracia y los derechos humanos marcó el inicio del encuentro.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“En esta conferencia queremos plantear 4 retos fundamentales para el desarrollo de América Latina: debemos tener consolidación fiscal en la región de tal manera que la deuda pública sea sostenible en el tiempo; tenemos que ver cómo podemos sacar ventaja y aprovechar al máximo la relación con China para promover el crecimiento de largo plazo de América Latina; también está el desafío institucional de mejorar la transparencia para evitar casos de corrupción y en eso la libertad de prensa juega un rol central; y por último, la baja productividad en la región que involucra llegar a consensos políticos fundamentales para fomentar crecimiento, inversión y productividad”, afirmó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Luis Carranza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presidente ejecutivo de CAF durante la apertura del encuentro junto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Luis Almagro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secretario general de la OEA; y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Michael Shifter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presidente del Diálogo Interamericano.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primera sesión de la 22ª Conferencia Anual CAF giró en torno a los retos del siglo XXI para la libertad de prensa con valiosos aportes de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Marty Baron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editor de The Washington Post;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Carlos Dada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director fundador de El Faro (El Salvador);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Roberto Pombo Holguín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director de El Tiempo (Colombia); y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Carlos Reymundo Roberts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editor de La Nación (Argentina); moderado por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Catalina Botero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decana de la facultad de Derecho de la Universidad de Los Andes (Colombia). 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Después se discutió sobre las relaciones entre China y América Latina frente a las nuevas perspectivas para el comercio y la inversión, influenciadas por las políticas de Estados Unidos, con aportes de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Rogers Valencia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ministro de Comercio Exterior y Turismo del Perú;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Dulcidio De La Guardia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ex ministro de Finanzas de Panamá;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Tatiana Rosito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miembro Senior del Centro Brasilero de Relaciones Internacionales (CEBRI);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Kevin Gallagher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director del Global Economic Governance Initiative de la Universidad de Boston;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Álvaro Mendez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co-director del Global South Unit de la London School of Economics; 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Isabel Hilton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editora del China Dialogue.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 la jornada de mañana representantes de gobiernos, organizaciones internacionales y la sociedad civil, empresarios, inversionistas, formuladores de políticas, analistas y periodistas, debatirán sobre qué debe hacer la región para lograr un crecimiento sostenido; cómo cerrar la brecha de productividad; pensar en la política más allá del corto plazo para generar consensos hacia un desarrollo sostenible; y las elecciones y evoluciones políticas en América Latina con enfoque en Brasil, Colombia, México, Paraguay y Venezuela.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22 Conferencia Anual CAF se podrá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seguir aquí en vivo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y comentar con el hashtag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#DiálogoCAF2018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7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546100</wp:posOffset>
                </wp:positionV>
                <wp:extent cx="56483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546100</wp:posOffset>
                </wp:positionV>
                <wp:extent cx="5648325" cy="285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jc w:val="both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6"/>
          <w:szCs w:val="16"/>
          <w:rtl w:val="0"/>
        </w:rPr>
        <w:t xml:space="preserve">Facebook: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6"/>
          <w:szCs w:val="16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Twitter: </w:t>
      </w:r>
      <w:hyperlink r:id="rId11">
        <w:r w:rsidDel="00000000" w:rsidR="00000000" w:rsidRPr="00000000">
          <w:rPr>
            <w:rFonts w:ascii="Arial Narrow" w:cs="Arial Narrow" w:eastAsia="Arial Narrow" w:hAnsi="Arial Narrow"/>
            <w:color w:val="0563c1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70841" cy="441113"/>
          <wp:effectExtent b="0" l="0" r="0" t="0"/>
          <wp:docPr descr="C:\Users\MEHERNANDEZ\Desktop\CAF Logo Color Horizontal.png" id="2" name="image4.png"/>
          <a:graphic>
            <a:graphicData uri="http://schemas.openxmlformats.org/drawingml/2006/picture">
              <pic:pic>
                <pic:nvPicPr>
                  <pic:cNvPr descr="C:\Users\MEHERNANDEZ\Desktop\CAF Logo Color Horizontal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841" cy="441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witter.com/AgendaCAF?lang=es" TargetMode="External"/><Relationship Id="rId10" Type="http://schemas.openxmlformats.org/officeDocument/2006/relationships/hyperlink" Target="https://www.facebook.com/CAF.America.Latina" TargetMode="External"/><Relationship Id="rId12" Type="http://schemas.openxmlformats.org/officeDocument/2006/relationships/header" Target="header1.xml"/><Relationship Id="rId9" Type="http://schemas.openxmlformats.org/officeDocument/2006/relationships/hyperlink" Target="mailto:prensa@caf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f.com/22conferenciaCAF" TargetMode="External"/><Relationship Id="rId7" Type="http://schemas.openxmlformats.org/officeDocument/2006/relationships/hyperlink" Target="http://www.caf.com/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